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CB5A23" w:rsidP="00D2297E">
            <w:pPr>
              <w:tabs>
                <w:tab w:val="right" w:pos="14356"/>
              </w:tabs>
              <w:spacing w:line="240" w:lineRule="auto"/>
              <w:rPr>
                <w:i/>
                <w:sz w:val="18"/>
                <w:szCs w:val="18"/>
              </w:rPr>
            </w:pPr>
            <w:r>
              <w:rPr>
                <w:b/>
                <w:color w:val="FFFFFF" w:themeColor="background1"/>
                <w:sz w:val="18"/>
                <w:szCs w:val="18"/>
              </w:rPr>
              <w:t xml:space="preserve">ICT.03 </w:t>
            </w:r>
            <w:r w:rsidR="00F11519">
              <w:rPr>
                <w:b/>
                <w:color w:val="FFFFFF" w:themeColor="background1"/>
                <w:sz w:val="18"/>
                <w:szCs w:val="18"/>
              </w:rPr>
              <w:t>INFORMATIE</w:t>
            </w:r>
            <w:r w:rsidR="00830B3A">
              <w:rPr>
                <w:b/>
                <w:color w:val="FFFFFF" w:themeColor="background1"/>
                <w:sz w:val="18"/>
                <w:szCs w:val="18"/>
              </w:rPr>
              <w:t>ANALIST 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F77784">
              <w:rPr>
                <w:color w:val="FFFFFF" w:themeColor="background1"/>
                <w:sz w:val="18"/>
                <w:szCs w:val="18"/>
              </w:rPr>
              <w:t>ICT</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EA6EFB" w:rsidRDefault="008A4466" w:rsidP="00804D43">
            <w:pPr>
              <w:spacing w:line="240" w:lineRule="auto"/>
              <w:rPr>
                <w:b/>
                <w:color w:val="F18213"/>
                <w:sz w:val="18"/>
                <w:szCs w:val="18"/>
                <w:lang w:bidi="x-none"/>
              </w:rPr>
            </w:pPr>
            <w:r w:rsidRPr="00EA6EFB">
              <w:rPr>
                <w:b/>
                <w:color w:val="F18213"/>
                <w:sz w:val="18"/>
                <w:szCs w:val="18"/>
              </w:rPr>
              <w:t>Context</w:t>
            </w:r>
          </w:p>
          <w:p w:rsidR="00804D43" w:rsidRPr="00D06CB4" w:rsidRDefault="00804D43" w:rsidP="00804D43">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39385A" w:rsidRPr="0039385A" w:rsidRDefault="00537AA0" w:rsidP="00804D43">
            <w:pPr>
              <w:spacing w:line="240" w:lineRule="auto"/>
              <w:rPr>
                <w:rFonts w:cs="Arial"/>
                <w:color w:val="000000" w:themeColor="text1"/>
                <w:sz w:val="18"/>
                <w:szCs w:val="18"/>
              </w:rPr>
            </w:pPr>
            <w:r w:rsidRPr="00261CFC">
              <w:rPr>
                <w:rFonts w:cs="Arial"/>
                <w:color w:val="auto"/>
                <w:sz w:val="18"/>
                <w:szCs w:val="18"/>
              </w:rPr>
              <w:t xml:space="preserve">Binnen de organisatie is ICT centraal georganiseerd onder aansturing van de manager ICT en is een onderscheid gemaakt tussen de ontwikkeling en het beheer van applicaties, de ontwikkeling en het beheer van de ICT-infrastructuur en de helpdesk. Daarnaast </w:t>
            </w:r>
            <w:r>
              <w:rPr>
                <w:rFonts w:cs="Arial"/>
                <w:color w:val="auto"/>
                <w:sz w:val="18"/>
                <w:szCs w:val="18"/>
              </w:rPr>
              <w:t>wordt informatieanalyse</w:t>
            </w:r>
            <w:r w:rsidRPr="00261CFC">
              <w:rPr>
                <w:rFonts w:cs="Arial"/>
                <w:color w:val="auto"/>
                <w:sz w:val="18"/>
                <w:szCs w:val="18"/>
              </w:rPr>
              <w:t xml:space="preserve"> onderscheiden </w:t>
            </w:r>
            <w:r>
              <w:rPr>
                <w:rFonts w:cs="Arial"/>
                <w:color w:val="auto"/>
                <w:sz w:val="18"/>
                <w:szCs w:val="18"/>
              </w:rPr>
              <w:t xml:space="preserve">waarbinnen de gewenste informatievoorziening van de business worden vormgegeven door analyse en onderzoek door grotendeels slimme toepassing van ICT-oplossingen. </w:t>
            </w:r>
            <w:r w:rsidR="00F11519" w:rsidRPr="0039385A">
              <w:rPr>
                <w:rFonts w:cs="Arial"/>
                <w:color w:val="000000" w:themeColor="text1"/>
                <w:sz w:val="18"/>
                <w:szCs w:val="18"/>
              </w:rPr>
              <w:t xml:space="preserve">Het speelveld waarin de organisatie zich begeeft vergt onderzoek en analyse van relevante ontwikkelingen </w:t>
            </w:r>
            <w:r w:rsidR="00F11519">
              <w:rPr>
                <w:rFonts w:cs="Arial"/>
                <w:color w:val="000000" w:themeColor="text1"/>
                <w:sz w:val="18"/>
                <w:szCs w:val="18"/>
              </w:rPr>
              <w:t>in het kader van</w:t>
            </w:r>
            <w:r w:rsidR="00F11519" w:rsidRPr="0039385A">
              <w:rPr>
                <w:rFonts w:cs="Arial"/>
                <w:color w:val="000000" w:themeColor="text1"/>
                <w:sz w:val="18"/>
                <w:szCs w:val="18"/>
              </w:rPr>
              <w:t xml:space="preserve"> beleidsvoornemens en </w:t>
            </w:r>
            <w:r w:rsidR="00F11519" w:rsidRPr="0039385A">
              <w:rPr>
                <w:rFonts w:cs="Arial"/>
                <w:color w:val="000000" w:themeColor="text1"/>
                <w:sz w:val="18"/>
                <w:szCs w:val="18"/>
              </w:rPr>
              <w:noBreakHyphen/>
              <w:t xml:space="preserve">plannen. Dit betreft </w:t>
            </w:r>
            <w:r w:rsidR="00F11519">
              <w:rPr>
                <w:rFonts w:cs="Arial"/>
                <w:color w:val="000000" w:themeColor="text1"/>
                <w:sz w:val="18"/>
                <w:szCs w:val="18"/>
              </w:rPr>
              <w:t>allerhande thema’s, zoals trends in leden- en verenigings</w:t>
            </w:r>
            <w:r w:rsidR="00D02086">
              <w:rPr>
                <w:rFonts w:cs="Arial"/>
                <w:color w:val="000000" w:themeColor="text1"/>
                <w:sz w:val="18"/>
                <w:szCs w:val="18"/>
              </w:rPr>
              <w:softHyphen/>
            </w:r>
            <w:r w:rsidR="00F11519">
              <w:rPr>
                <w:rFonts w:cs="Arial"/>
                <w:color w:val="000000" w:themeColor="text1"/>
                <w:sz w:val="18"/>
                <w:szCs w:val="18"/>
              </w:rPr>
              <w:t xml:space="preserve">ontwikkeling, financieringsstromen, marketingeffecten etc. </w:t>
            </w:r>
            <w:r w:rsidR="00F11519" w:rsidRPr="0039385A">
              <w:rPr>
                <w:rFonts w:cs="Arial"/>
                <w:color w:val="000000" w:themeColor="text1"/>
                <w:sz w:val="18"/>
                <w:szCs w:val="18"/>
              </w:rPr>
              <w:t xml:space="preserve">Al deze ontwikkelingen zijn van invloed op de concretisering van beleid en (tactische) plannen/projecten van </w:t>
            </w:r>
            <w:r w:rsidR="00F11519">
              <w:rPr>
                <w:rFonts w:cs="Arial"/>
                <w:color w:val="000000" w:themeColor="text1"/>
                <w:sz w:val="18"/>
                <w:szCs w:val="18"/>
              </w:rPr>
              <w:t>de organisatie</w:t>
            </w:r>
            <w:r w:rsidR="00F11519" w:rsidRPr="0039385A">
              <w:rPr>
                <w:rFonts w:cs="Arial"/>
                <w:color w:val="000000" w:themeColor="text1"/>
                <w:sz w:val="18"/>
                <w:szCs w:val="18"/>
              </w:rPr>
              <w:t xml:space="preserve"> c.q. het monitoren en evalueren van de bedrijfsvoering.</w:t>
            </w:r>
            <w:r w:rsidR="0028384A">
              <w:rPr>
                <w:rFonts w:cs="Arial"/>
                <w:color w:val="000000" w:themeColor="text1"/>
                <w:sz w:val="18"/>
                <w:szCs w:val="18"/>
              </w:rPr>
              <w:t xml:space="preserve"> </w:t>
            </w:r>
            <w:r w:rsidR="0039385A">
              <w:rPr>
                <w:rFonts w:cs="Arial"/>
                <w:color w:val="000000" w:themeColor="text1"/>
                <w:sz w:val="18"/>
                <w:szCs w:val="18"/>
              </w:rPr>
              <w:t>De informatie</w:t>
            </w:r>
            <w:r w:rsidR="0039385A" w:rsidRPr="0039385A">
              <w:rPr>
                <w:rFonts w:cs="Arial"/>
                <w:color w:val="000000" w:themeColor="text1"/>
                <w:sz w:val="18"/>
                <w:szCs w:val="18"/>
              </w:rPr>
              <w:t>a</w:t>
            </w:r>
            <w:r w:rsidR="0039385A">
              <w:rPr>
                <w:rFonts w:cs="Arial"/>
                <w:color w:val="000000" w:themeColor="text1"/>
                <w:sz w:val="18"/>
                <w:szCs w:val="18"/>
              </w:rPr>
              <w:t>nalist</w:t>
            </w:r>
            <w:r w:rsidR="00830B3A">
              <w:rPr>
                <w:rFonts w:cs="Arial"/>
                <w:color w:val="000000" w:themeColor="text1"/>
                <w:sz w:val="18"/>
                <w:szCs w:val="18"/>
              </w:rPr>
              <w:t xml:space="preserve"> I</w:t>
            </w:r>
            <w:r w:rsidR="0039385A">
              <w:rPr>
                <w:rFonts w:cs="Arial"/>
                <w:color w:val="000000" w:themeColor="text1"/>
                <w:sz w:val="18"/>
                <w:szCs w:val="18"/>
              </w:rPr>
              <w:t xml:space="preserve"> is</w:t>
            </w:r>
            <w:r w:rsidR="0039385A" w:rsidRPr="0039385A">
              <w:rPr>
                <w:rFonts w:cs="Arial"/>
                <w:color w:val="000000" w:themeColor="text1"/>
                <w:sz w:val="18"/>
                <w:szCs w:val="18"/>
              </w:rPr>
              <w:t xml:space="preserve"> gericht op informatievoorziening</w:t>
            </w:r>
            <w:r w:rsidR="003F6277">
              <w:rPr>
                <w:rFonts w:cs="Arial"/>
                <w:color w:val="000000" w:themeColor="text1"/>
                <w:sz w:val="18"/>
                <w:szCs w:val="18"/>
              </w:rPr>
              <w:t xml:space="preserve"> (ondersteund door ICT-</w:t>
            </w:r>
            <w:r w:rsidR="0039385A">
              <w:rPr>
                <w:rFonts w:cs="Arial"/>
                <w:color w:val="000000" w:themeColor="text1"/>
                <w:sz w:val="18"/>
                <w:szCs w:val="18"/>
              </w:rPr>
              <w:t xml:space="preserve">voorzieningen) vanuit </w:t>
            </w:r>
            <w:r w:rsidR="0039385A" w:rsidRPr="0039385A">
              <w:rPr>
                <w:rFonts w:cs="Arial"/>
                <w:color w:val="000000" w:themeColor="text1"/>
                <w:sz w:val="18"/>
                <w:szCs w:val="18"/>
              </w:rPr>
              <w:t xml:space="preserve">verschillende </w:t>
            </w:r>
            <w:r w:rsidR="0039385A">
              <w:rPr>
                <w:rFonts w:cs="Arial"/>
                <w:color w:val="000000" w:themeColor="text1"/>
                <w:sz w:val="18"/>
                <w:szCs w:val="18"/>
              </w:rPr>
              <w:t>thema</w:t>
            </w:r>
            <w:r w:rsidR="00F11519">
              <w:rPr>
                <w:rFonts w:cs="Arial"/>
                <w:color w:val="000000" w:themeColor="text1"/>
                <w:sz w:val="18"/>
                <w:szCs w:val="18"/>
              </w:rPr>
              <w:t>’s en onderwerpen op basis van structurele</w:t>
            </w:r>
            <w:r w:rsidR="0039385A">
              <w:rPr>
                <w:rFonts w:cs="Arial"/>
                <w:color w:val="000000" w:themeColor="text1"/>
                <w:sz w:val="18"/>
                <w:szCs w:val="18"/>
              </w:rPr>
              <w:t xml:space="preserve"> en ad</w:t>
            </w:r>
            <w:r w:rsidR="003F6277">
              <w:rPr>
                <w:rFonts w:cs="Arial"/>
                <w:color w:val="000000" w:themeColor="text1"/>
                <w:sz w:val="18"/>
                <w:szCs w:val="18"/>
              </w:rPr>
              <w:t>-</w:t>
            </w:r>
            <w:r w:rsidR="0039385A">
              <w:rPr>
                <w:rFonts w:cs="Arial"/>
                <w:color w:val="000000" w:themeColor="text1"/>
                <w:sz w:val="18"/>
                <w:szCs w:val="18"/>
              </w:rPr>
              <w:t xml:space="preserve">hoc-informatiebehoeften vanuit het management </w:t>
            </w:r>
            <w:r w:rsidR="007D1596">
              <w:rPr>
                <w:rFonts w:cs="Arial"/>
                <w:color w:val="000000" w:themeColor="text1"/>
                <w:sz w:val="18"/>
                <w:szCs w:val="18"/>
              </w:rPr>
              <w:t xml:space="preserve">en de leden </w:t>
            </w:r>
            <w:r w:rsidR="0039385A">
              <w:rPr>
                <w:rFonts w:cs="Arial"/>
                <w:color w:val="000000" w:themeColor="text1"/>
                <w:sz w:val="18"/>
                <w:szCs w:val="18"/>
              </w:rPr>
              <w:t>teneinde op basis van</w:t>
            </w:r>
            <w:r w:rsidR="0039385A" w:rsidRPr="0039385A">
              <w:rPr>
                <w:rFonts w:cs="Arial"/>
                <w:color w:val="000000" w:themeColor="text1"/>
                <w:sz w:val="18"/>
                <w:szCs w:val="18"/>
              </w:rPr>
              <w:t xml:space="preserve"> </w:t>
            </w:r>
            <w:r w:rsidR="00830B3A">
              <w:rPr>
                <w:rFonts w:cs="Arial"/>
                <w:color w:val="000000" w:themeColor="text1"/>
                <w:sz w:val="18"/>
                <w:szCs w:val="18"/>
              </w:rPr>
              <w:t xml:space="preserve">(primair kwantitatieve) </w:t>
            </w:r>
            <w:r w:rsidR="0039385A" w:rsidRPr="0039385A">
              <w:rPr>
                <w:rFonts w:cs="Arial"/>
                <w:color w:val="000000" w:themeColor="text1"/>
                <w:sz w:val="18"/>
                <w:szCs w:val="18"/>
              </w:rPr>
              <w:t xml:space="preserve">analyses </w:t>
            </w:r>
            <w:r w:rsidR="0039385A">
              <w:rPr>
                <w:rFonts w:cs="Arial"/>
                <w:color w:val="000000" w:themeColor="text1"/>
                <w:sz w:val="18"/>
                <w:szCs w:val="18"/>
              </w:rPr>
              <w:t xml:space="preserve">input te genereren voor </w:t>
            </w:r>
            <w:r w:rsidR="00830B3A">
              <w:rPr>
                <w:rFonts w:cs="Arial"/>
                <w:color w:val="000000" w:themeColor="text1"/>
                <w:sz w:val="18"/>
                <w:szCs w:val="18"/>
              </w:rPr>
              <w:t>operationele vraagstukken en plannen</w:t>
            </w:r>
            <w:r w:rsidR="003F6277">
              <w:rPr>
                <w:rFonts w:cs="Arial"/>
                <w:color w:val="000000" w:themeColor="text1"/>
                <w:sz w:val="18"/>
                <w:szCs w:val="18"/>
              </w:rPr>
              <w:t>. Het gaat hierbij om</w:t>
            </w:r>
            <w:r w:rsidR="00BB29D8" w:rsidRPr="00BB29D8">
              <w:rPr>
                <w:rFonts w:cs="Arial"/>
                <w:color w:val="000000" w:themeColor="text1"/>
                <w:sz w:val="18"/>
                <w:szCs w:val="18"/>
              </w:rPr>
              <w:t xml:space="preserve"> het </w:t>
            </w:r>
            <w:r w:rsidR="00BB29D8" w:rsidRPr="00BB29D8">
              <w:rPr>
                <w:sz w:val="18"/>
                <w:szCs w:val="18"/>
              </w:rPr>
              <w:t>ontwerp, de inrichting en de d</w:t>
            </w:r>
            <w:r w:rsidR="003F6277">
              <w:rPr>
                <w:sz w:val="18"/>
                <w:szCs w:val="18"/>
              </w:rPr>
              <w:t>o</w:t>
            </w:r>
            <w:r w:rsidR="0028384A">
              <w:rPr>
                <w:sz w:val="18"/>
                <w:szCs w:val="18"/>
              </w:rPr>
              <w:t>orontwikkeling van een Business-</w:t>
            </w:r>
            <w:r w:rsidR="003F6277">
              <w:rPr>
                <w:sz w:val="18"/>
                <w:szCs w:val="18"/>
              </w:rPr>
              <w:t>Intelligence-(BI)-</w:t>
            </w:r>
            <w:r w:rsidR="00BB29D8" w:rsidRPr="00BB29D8">
              <w:rPr>
                <w:sz w:val="18"/>
                <w:szCs w:val="18"/>
              </w:rPr>
              <w:t>omgeving (bestaand</w:t>
            </w:r>
            <w:r w:rsidR="003F6277">
              <w:rPr>
                <w:sz w:val="18"/>
                <w:szCs w:val="18"/>
              </w:rPr>
              <w:t>e uit een Data Warehouse (DWH) en rapportage/analyse-</w:t>
            </w:r>
            <w:r w:rsidR="00BB29D8" w:rsidRPr="00BB29D8">
              <w:rPr>
                <w:sz w:val="18"/>
                <w:szCs w:val="18"/>
              </w:rPr>
              <w:t>omgeving).</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39385A" w:rsidP="00A51BFC">
            <w:pPr>
              <w:spacing w:line="240" w:lineRule="auto"/>
              <w:rPr>
                <w:sz w:val="18"/>
                <w:szCs w:val="18"/>
              </w:rPr>
            </w:pPr>
            <w:r>
              <w:rPr>
                <w:color w:val="000000" w:themeColor="text1"/>
                <w:sz w:val="18"/>
                <w:szCs w:val="18"/>
              </w:rPr>
              <w:t>Tijdige kwalitatieve informatievoorziening beschikbaar voor management</w:t>
            </w:r>
            <w:r w:rsidR="007D1596">
              <w:rPr>
                <w:color w:val="000000" w:themeColor="text1"/>
                <w:sz w:val="18"/>
                <w:szCs w:val="18"/>
              </w:rPr>
              <w:t xml:space="preserve"> en leden</w:t>
            </w:r>
            <w:r>
              <w:rPr>
                <w:color w:val="000000" w:themeColor="text1"/>
                <w:sz w:val="18"/>
                <w:szCs w:val="18"/>
              </w:rPr>
              <w:t xml:space="preserve"> teneinde te komen tot onderbouwde beleids- en planvorming</w:t>
            </w:r>
            <w:r w:rsidR="00537AA0">
              <w:rPr>
                <w:color w:val="000000" w:themeColor="text1"/>
                <w:sz w:val="18"/>
                <w:szCs w:val="18"/>
              </w:rPr>
              <w:t>.</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B346CD">
              <w:rPr>
                <w:color w:val="000000" w:themeColor="text1"/>
                <w:sz w:val="18"/>
                <w:szCs w:val="18"/>
                <w:lang w:bidi="x-none"/>
              </w:rPr>
              <w:t>Manager ICT</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F77784">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F77784" w:rsidRPr="00EA6EFB" w:rsidTr="001603C7">
        <w:tc>
          <w:tcPr>
            <w:tcW w:w="1007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359" w:right="17" w:hanging="359"/>
              <w:rPr>
                <w:rFonts w:cs="Arial"/>
                <w:b/>
                <w:color w:val="auto"/>
                <w:sz w:val="18"/>
                <w:szCs w:val="18"/>
              </w:rPr>
            </w:pPr>
            <w:r w:rsidRPr="00F77784">
              <w:rPr>
                <w:rFonts w:cs="Arial"/>
                <w:b/>
                <w:color w:val="auto"/>
                <w:sz w:val="18"/>
                <w:szCs w:val="18"/>
              </w:rPr>
              <w:t xml:space="preserve">1. </w:t>
            </w:r>
            <w:r w:rsidRPr="00F77784">
              <w:rPr>
                <w:rFonts w:cs="Arial"/>
                <w:b/>
                <w:color w:val="auto"/>
                <w:sz w:val="18"/>
                <w:szCs w:val="18"/>
              </w:rPr>
              <w:tab/>
              <w:t>Definitie informatievoorziening</w:t>
            </w:r>
          </w:p>
          <w:p w:rsidR="00F77784" w:rsidRPr="00F77784" w:rsidRDefault="00F77784" w:rsidP="00F77784">
            <w:pPr>
              <w:spacing w:line="240" w:lineRule="auto"/>
              <w:ind w:left="359" w:right="17"/>
              <w:rPr>
                <w:rFonts w:cs="Arial"/>
                <w:color w:val="auto"/>
                <w:sz w:val="18"/>
                <w:szCs w:val="18"/>
              </w:rPr>
            </w:pPr>
            <w:r w:rsidRPr="00F77784">
              <w:rPr>
                <w:rFonts w:cs="Arial"/>
                <w:color w:val="auto"/>
                <w:sz w:val="18"/>
                <w:szCs w:val="18"/>
              </w:rPr>
              <w:t xml:space="preserve">Aansluitend op de informatiebehoeften vanuit de organisatie is </w:t>
            </w:r>
            <w:r w:rsidR="00830B3A">
              <w:rPr>
                <w:rFonts w:cs="Arial"/>
                <w:color w:val="auto"/>
                <w:sz w:val="18"/>
                <w:szCs w:val="18"/>
              </w:rPr>
              <w:t>de</w:t>
            </w:r>
            <w:r w:rsidRPr="00F77784">
              <w:rPr>
                <w:rFonts w:cs="Arial"/>
                <w:color w:val="auto"/>
                <w:sz w:val="18"/>
                <w:szCs w:val="18"/>
              </w:rPr>
              <w:t xml:space="preserve"> </w:t>
            </w:r>
            <w:r w:rsidR="00830B3A">
              <w:rPr>
                <w:rFonts w:cs="Arial"/>
                <w:color w:val="auto"/>
                <w:sz w:val="18"/>
                <w:szCs w:val="18"/>
              </w:rPr>
              <w:t xml:space="preserve">gewenste </w:t>
            </w:r>
            <w:r w:rsidRPr="00F77784">
              <w:rPr>
                <w:rFonts w:cs="Arial"/>
                <w:color w:val="auto"/>
                <w:sz w:val="18"/>
                <w:szCs w:val="18"/>
              </w:rPr>
              <w:t xml:space="preserve">(structurele en ad-hoc-) informatievoorziening op verschillende aandachtsgebieden vertaald naar op te leveren inzichten en rapportages als input voor </w:t>
            </w:r>
            <w:r w:rsidR="00830B3A">
              <w:rPr>
                <w:rFonts w:cs="Arial"/>
                <w:color w:val="auto"/>
                <w:sz w:val="18"/>
                <w:szCs w:val="18"/>
              </w:rPr>
              <w:t>operationele vraagstukken</w:t>
            </w:r>
            <w:r w:rsidRPr="00F77784">
              <w:rPr>
                <w:rFonts w:cs="Arial"/>
                <w:color w:val="auto"/>
                <w:sz w:val="18"/>
                <w:szCs w:val="18"/>
              </w:rPr>
              <w:t>.</w:t>
            </w:r>
          </w:p>
        </w:tc>
        <w:tc>
          <w:tcPr>
            <w:tcW w:w="450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eenduidige definitie informatievoorziening;</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eenduidige definitie van op te leveren inzichten, rapportages en business-analyses;</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draagvlak/acceptatie voorstellen.</w:t>
            </w:r>
          </w:p>
        </w:tc>
      </w:tr>
      <w:tr w:rsidR="00F77784" w:rsidRPr="00EA6EFB" w:rsidTr="001603C7">
        <w:trPr>
          <w:trHeight w:val="500"/>
        </w:trPr>
        <w:tc>
          <w:tcPr>
            <w:tcW w:w="1007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359" w:hanging="359"/>
              <w:rPr>
                <w:rFonts w:cs="Arial"/>
                <w:b/>
                <w:color w:val="auto"/>
                <w:sz w:val="18"/>
                <w:szCs w:val="18"/>
              </w:rPr>
            </w:pPr>
            <w:r w:rsidRPr="00F77784">
              <w:rPr>
                <w:rFonts w:cs="Arial"/>
                <w:b/>
                <w:color w:val="auto"/>
                <w:sz w:val="18"/>
                <w:szCs w:val="18"/>
              </w:rPr>
              <w:t xml:space="preserve">2. </w:t>
            </w:r>
            <w:r>
              <w:rPr>
                <w:rFonts w:cs="Arial"/>
                <w:b/>
                <w:color w:val="auto"/>
                <w:sz w:val="18"/>
                <w:szCs w:val="18"/>
              </w:rPr>
              <w:tab/>
            </w:r>
            <w:r w:rsidRPr="00F77784">
              <w:rPr>
                <w:rFonts w:cs="Arial"/>
                <w:b/>
                <w:color w:val="auto"/>
                <w:sz w:val="18"/>
                <w:szCs w:val="18"/>
              </w:rPr>
              <w:t>Informatieverwerking en business analyse</w:t>
            </w:r>
          </w:p>
          <w:p w:rsidR="00F77784" w:rsidRPr="00F77784" w:rsidRDefault="00F77784" w:rsidP="00F77784">
            <w:pPr>
              <w:spacing w:line="240" w:lineRule="auto"/>
              <w:ind w:left="359"/>
              <w:rPr>
                <w:rFonts w:cs="Arial"/>
                <w:color w:val="auto"/>
                <w:sz w:val="18"/>
                <w:szCs w:val="18"/>
              </w:rPr>
            </w:pPr>
            <w:r w:rsidRPr="00F77784">
              <w:rPr>
                <w:rFonts w:cs="Arial"/>
                <w:color w:val="auto"/>
                <w:sz w:val="18"/>
                <w:szCs w:val="18"/>
              </w:rPr>
              <w:t xml:space="preserve">Er is effectief invulling gegeven aan het verzamelen, bewerken en analyseren van relevante informatie, externe data en ontwikkelingen </w:t>
            </w:r>
            <w:r w:rsidR="00BB29D8">
              <w:rPr>
                <w:rFonts w:cs="Arial"/>
                <w:color w:val="auto"/>
                <w:sz w:val="18"/>
                <w:szCs w:val="18"/>
              </w:rPr>
              <w:t>(gebruikmakend van (de combinatie van) diverse ICT-toepassingen</w:t>
            </w:r>
            <w:r w:rsidR="007D1596">
              <w:rPr>
                <w:rFonts w:cs="Arial"/>
                <w:color w:val="auto"/>
                <w:sz w:val="18"/>
                <w:szCs w:val="18"/>
              </w:rPr>
              <w:t xml:space="preserve"> en datamodellen</w:t>
            </w:r>
            <w:r w:rsidR="00BB29D8">
              <w:rPr>
                <w:rFonts w:cs="Arial"/>
                <w:color w:val="auto"/>
                <w:sz w:val="18"/>
                <w:szCs w:val="18"/>
              </w:rPr>
              <w:t xml:space="preserve">) </w:t>
            </w:r>
            <w:r w:rsidRPr="00F77784">
              <w:rPr>
                <w:rFonts w:cs="Arial"/>
                <w:color w:val="auto"/>
                <w:sz w:val="18"/>
                <w:szCs w:val="18"/>
              </w:rPr>
              <w:t xml:space="preserve">leidend tot betrouwbare en relevante inzichten en analyseresultaten. </w:t>
            </w:r>
          </w:p>
        </w:tc>
        <w:tc>
          <w:tcPr>
            <w:tcW w:w="450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aansluitend op informatiebehoeften;</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betrouwbaarheid van inzichten-/analyseresultaten;</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binnen gestelde termijnen.</w:t>
            </w:r>
          </w:p>
        </w:tc>
      </w:tr>
      <w:tr w:rsidR="00F77784" w:rsidRPr="00EA6EFB" w:rsidTr="001603C7">
        <w:trPr>
          <w:trHeight w:val="538"/>
        </w:trPr>
        <w:tc>
          <w:tcPr>
            <w:tcW w:w="1007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359" w:hanging="359"/>
              <w:rPr>
                <w:rFonts w:cs="Arial"/>
                <w:b/>
                <w:color w:val="auto"/>
                <w:sz w:val="18"/>
                <w:szCs w:val="18"/>
              </w:rPr>
            </w:pPr>
            <w:r w:rsidRPr="00F77784">
              <w:rPr>
                <w:rFonts w:cs="Arial"/>
                <w:b/>
                <w:color w:val="auto"/>
                <w:sz w:val="18"/>
                <w:szCs w:val="18"/>
              </w:rPr>
              <w:t xml:space="preserve">3. </w:t>
            </w:r>
            <w:r>
              <w:rPr>
                <w:rFonts w:cs="Arial"/>
                <w:b/>
                <w:color w:val="auto"/>
                <w:sz w:val="18"/>
                <w:szCs w:val="18"/>
              </w:rPr>
              <w:tab/>
            </w:r>
            <w:r w:rsidRPr="00F77784">
              <w:rPr>
                <w:rFonts w:cs="Arial"/>
                <w:b/>
                <w:color w:val="auto"/>
                <w:sz w:val="18"/>
                <w:szCs w:val="18"/>
              </w:rPr>
              <w:t>Rapportage en advies</w:t>
            </w:r>
          </w:p>
          <w:p w:rsidR="00F77784" w:rsidRPr="00F77784" w:rsidRDefault="00F77784" w:rsidP="00F77784">
            <w:pPr>
              <w:spacing w:line="240" w:lineRule="auto"/>
              <w:ind w:left="359"/>
              <w:rPr>
                <w:rFonts w:cs="Arial"/>
                <w:color w:val="auto"/>
                <w:sz w:val="18"/>
                <w:szCs w:val="18"/>
              </w:rPr>
            </w:pPr>
            <w:r w:rsidRPr="00F77784">
              <w:rPr>
                <w:rFonts w:cs="Arial"/>
                <w:color w:val="auto"/>
                <w:sz w:val="18"/>
                <w:szCs w:val="18"/>
              </w:rPr>
              <w:t xml:space="preserve">Inzichten en analyseresultaten zijn gerapporteerd en toegelicht aan </w:t>
            </w:r>
            <w:r w:rsidR="00830B3A">
              <w:rPr>
                <w:rFonts w:cs="Arial"/>
                <w:color w:val="auto"/>
                <w:sz w:val="18"/>
                <w:szCs w:val="18"/>
              </w:rPr>
              <w:t>de interne opdrachtgever</w:t>
            </w:r>
            <w:r w:rsidRPr="00F77784">
              <w:rPr>
                <w:rFonts w:cs="Arial"/>
                <w:color w:val="auto"/>
                <w:sz w:val="18"/>
                <w:szCs w:val="18"/>
              </w:rPr>
              <w:t xml:space="preserve"> </w:t>
            </w:r>
            <w:r w:rsidR="00830B3A">
              <w:rPr>
                <w:rFonts w:cs="Arial"/>
                <w:color w:val="auto"/>
                <w:sz w:val="18"/>
                <w:szCs w:val="18"/>
              </w:rPr>
              <w:t xml:space="preserve">en na afstemming beschikbaar gesteld </w:t>
            </w:r>
            <w:r w:rsidRPr="00F77784">
              <w:rPr>
                <w:rFonts w:cs="Arial"/>
                <w:color w:val="auto"/>
                <w:sz w:val="18"/>
                <w:szCs w:val="18"/>
              </w:rPr>
              <w:t>als input voor het onderbouwen van beleid- en planvorming c.q. evaluatie van beleid, plannen/projecten en (operationele) bedrijfsvoering.</w:t>
            </w:r>
          </w:p>
        </w:tc>
        <w:tc>
          <w:tcPr>
            <w:tcW w:w="450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kwaliteit van rapportages: correct, sluitend, mate van onderbouwing, inzicht in oorzaken, samenhang, impact op langere termijn e.d.;</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toegankelijkheid, toepasbaarheid van inzichten en analyses.</w:t>
            </w:r>
          </w:p>
        </w:tc>
      </w:tr>
      <w:tr w:rsidR="00F77784" w:rsidRPr="00EA6EFB" w:rsidTr="001603C7">
        <w:trPr>
          <w:trHeight w:val="575"/>
        </w:trPr>
        <w:tc>
          <w:tcPr>
            <w:tcW w:w="1007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359" w:hanging="359"/>
              <w:rPr>
                <w:rFonts w:cs="Arial"/>
                <w:b/>
                <w:color w:val="auto"/>
                <w:sz w:val="18"/>
                <w:szCs w:val="18"/>
              </w:rPr>
            </w:pPr>
            <w:r w:rsidRPr="00F77784">
              <w:rPr>
                <w:rFonts w:cs="Arial"/>
                <w:b/>
                <w:color w:val="auto"/>
                <w:sz w:val="18"/>
                <w:szCs w:val="18"/>
              </w:rPr>
              <w:t xml:space="preserve">4. </w:t>
            </w:r>
            <w:r>
              <w:rPr>
                <w:rFonts w:cs="Arial"/>
                <w:b/>
                <w:color w:val="auto"/>
                <w:sz w:val="18"/>
                <w:szCs w:val="18"/>
              </w:rPr>
              <w:tab/>
            </w:r>
            <w:r w:rsidRPr="00F77784">
              <w:rPr>
                <w:rFonts w:cs="Arial"/>
                <w:b/>
                <w:color w:val="auto"/>
                <w:sz w:val="18"/>
                <w:szCs w:val="18"/>
              </w:rPr>
              <w:t>Beschikbaarheid instrumenten en systemen</w:t>
            </w:r>
          </w:p>
          <w:p w:rsidR="00F77784" w:rsidRPr="00F77784" w:rsidRDefault="00F77784" w:rsidP="00F77784">
            <w:pPr>
              <w:spacing w:line="240" w:lineRule="auto"/>
              <w:ind w:left="359"/>
              <w:rPr>
                <w:rFonts w:cs="Arial"/>
                <w:color w:val="auto"/>
                <w:sz w:val="18"/>
                <w:szCs w:val="18"/>
              </w:rPr>
            </w:pPr>
            <w:r w:rsidRPr="00F77784">
              <w:rPr>
                <w:rFonts w:cs="Arial"/>
                <w:color w:val="auto"/>
                <w:sz w:val="18"/>
                <w:szCs w:val="18"/>
              </w:rPr>
              <w:t xml:space="preserve">Aansluitend op behoeften </w:t>
            </w:r>
            <w:r w:rsidR="007D1596">
              <w:rPr>
                <w:rFonts w:cs="Arial"/>
                <w:color w:val="auto"/>
                <w:sz w:val="18"/>
                <w:szCs w:val="18"/>
              </w:rPr>
              <w:t xml:space="preserve">en externe ontwikkelingen </w:t>
            </w:r>
            <w:r w:rsidRPr="00F77784">
              <w:rPr>
                <w:rFonts w:cs="Arial"/>
                <w:color w:val="auto"/>
                <w:sz w:val="18"/>
                <w:szCs w:val="18"/>
              </w:rPr>
              <w:t xml:space="preserve">is invulling en uitwerking gegeven aan (optimalisatie van) methoden, technieken </w:t>
            </w:r>
            <w:r w:rsidR="00830B3A">
              <w:rPr>
                <w:rFonts w:cs="Arial"/>
                <w:color w:val="auto"/>
                <w:sz w:val="18"/>
                <w:szCs w:val="18"/>
              </w:rPr>
              <w:t xml:space="preserve">(o.m. query’s en datasets) </w:t>
            </w:r>
            <w:r w:rsidRPr="00F77784">
              <w:rPr>
                <w:rFonts w:cs="Arial"/>
                <w:color w:val="auto"/>
                <w:sz w:val="18"/>
                <w:szCs w:val="18"/>
              </w:rPr>
              <w:t xml:space="preserve">voor het verzamelen, bewerken en analyseren van informatie </w:t>
            </w:r>
            <w:r w:rsidR="00BB29D8">
              <w:rPr>
                <w:rFonts w:cs="Arial"/>
                <w:color w:val="auto"/>
                <w:sz w:val="18"/>
                <w:szCs w:val="18"/>
              </w:rPr>
              <w:t xml:space="preserve">(BI) </w:t>
            </w:r>
            <w:r w:rsidRPr="00F77784">
              <w:rPr>
                <w:rFonts w:cs="Arial"/>
                <w:color w:val="auto"/>
                <w:sz w:val="18"/>
                <w:szCs w:val="18"/>
              </w:rPr>
              <w:t>en resultaten op verschillende aandachtsgebieden.</w:t>
            </w:r>
          </w:p>
        </w:tc>
        <w:tc>
          <w:tcPr>
            <w:tcW w:w="4501" w:type="dxa"/>
            <w:tcBorders>
              <w:top w:val="single" w:sz="4" w:space="0" w:color="auto"/>
              <w:bottom w:val="single" w:sz="4" w:space="0" w:color="auto"/>
            </w:tcBorders>
            <w:tcMar>
              <w:top w:w="57" w:type="dxa"/>
              <w:bottom w:w="57" w:type="dxa"/>
            </w:tcMar>
          </w:tcPr>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effectiviteit, beschikbaarheid van tooling en systemen;</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effect van verbeteringen en optimalisaties;</w:t>
            </w:r>
          </w:p>
          <w:p w:rsidR="00F77784" w:rsidRPr="00F77784" w:rsidRDefault="00F77784" w:rsidP="00F77784">
            <w:pPr>
              <w:spacing w:line="240" w:lineRule="auto"/>
              <w:ind w:left="284" w:hanging="284"/>
              <w:rPr>
                <w:rFonts w:cs="Arial"/>
                <w:color w:val="auto"/>
                <w:sz w:val="18"/>
                <w:szCs w:val="18"/>
              </w:rPr>
            </w:pPr>
            <w:r w:rsidRPr="00F77784">
              <w:rPr>
                <w:rFonts w:cs="Arial"/>
                <w:color w:val="auto"/>
                <w:sz w:val="18"/>
                <w:szCs w:val="18"/>
              </w:rPr>
              <w:t>-</w:t>
            </w:r>
            <w:r w:rsidRPr="00F77784">
              <w:rPr>
                <w:rFonts w:cs="Arial"/>
                <w:color w:val="auto"/>
                <w:sz w:val="18"/>
                <w:szCs w:val="18"/>
              </w:rPr>
              <w:tab/>
              <w:t>optimale inzet van tooling.</w:t>
            </w:r>
          </w:p>
        </w:tc>
      </w:tr>
    </w:tbl>
    <w:p w:rsidR="00804D43" w:rsidRDefault="00804D43">
      <w:r>
        <w:br w:type="page"/>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4572"/>
      </w:tblGrid>
      <w:tr w:rsidR="003A231F" w:rsidRPr="00EA6EFB" w:rsidTr="001603C7">
        <w:trPr>
          <w:trHeight w:val="301"/>
        </w:trPr>
        <w:tc>
          <w:tcPr>
            <w:tcW w:w="14572" w:type="dxa"/>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color w:val="F18213"/>
                <w:sz w:val="18"/>
                <w:szCs w:val="18"/>
              </w:rPr>
            </w:pPr>
            <w:r w:rsidRPr="00EA6EFB">
              <w:rPr>
                <w:b/>
                <w:color w:val="F18213"/>
                <w:sz w:val="18"/>
                <w:szCs w:val="18"/>
              </w:rPr>
              <w:lastRenderedPageBreak/>
              <w:t>Bezwarende werkomstandigheden</w:t>
            </w:r>
          </w:p>
          <w:p w:rsidR="003A231F" w:rsidRPr="00EA6EFB"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87098A">
              <w:rPr>
                <w:color w:val="auto"/>
                <w:sz w:val="18"/>
                <w:szCs w:val="18"/>
              </w:rPr>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default" r:id="rId7"/>
      <w:footerReference w:type="default" r:id="rId8"/>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ACB" w:rsidRDefault="00900ACB" w:rsidP="001073D2">
      <w:pPr>
        <w:spacing w:line="240" w:lineRule="auto"/>
      </w:pPr>
      <w:r>
        <w:separator/>
      </w:r>
    </w:p>
  </w:endnote>
  <w:endnote w:type="continuationSeparator" w:id="0">
    <w:p w:rsidR="00900ACB" w:rsidRDefault="00900ACB"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804D43">
      <w:rPr>
        <w:color w:val="auto"/>
        <w:sz w:val="16"/>
      </w:rPr>
      <w:t>2409</w:t>
    </w:r>
    <w:r w:rsidR="00182624">
      <w:rPr>
        <w:color w:val="auto"/>
        <w:sz w:val="16"/>
      </w:rPr>
      <w:t>18</w:t>
    </w:r>
    <w:r w:rsidR="00CA42AF">
      <w:rPr>
        <w:noProof/>
        <w:color w:val="auto"/>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ACB" w:rsidRDefault="00900ACB" w:rsidP="001073D2">
      <w:pPr>
        <w:spacing w:line="240" w:lineRule="auto"/>
      </w:pPr>
      <w:r>
        <w:separator/>
      </w:r>
    </w:p>
  </w:footnote>
  <w:footnote w:type="continuationSeparator" w:id="0">
    <w:p w:rsidR="00900ACB" w:rsidRDefault="00900ACB"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14"/>
    <w:rsid w:val="00013FFA"/>
    <w:rsid w:val="00022563"/>
    <w:rsid w:val="00040B6A"/>
    <w:rsid w:val="00051C43"/>
    <w:rsid w:val="00053F25"/>
    <w:rsid w:val="0006753D"/>
    <w:rsid w:val="00075FF0"/>
    <w:rsid w:val="00085E14"/>
    <w:rsid w:val="0008707B"/>
    <w:rsid w:val="000A4E2C"/>
    <w:rsid w:val="000C1D4D"/>
    <w:rsid w:val="000C7534"/>
    <w:rsid w:val="00104B2A"/>
    <w:rsid w:val="00107BB5"/>
    <w:rsid w:val="001133FD"/>
    <w:rsid w:val="00121D7A"/>
    <w:rsid w:val="00132C5B"/>
    <w:rsid w:val="00140BCD"/>
    <w:rsid w:val="00146FF6"/>
    <w:rsid w:val="001603C7"/>
    <w:rsid w:val="00161FEA"/>
    <w:rsid w:val="00182624"/>
    <w:rsid w:val="0019223A"/>
    <w:rsid w:val="001D08A5"/>
    <w:rsid w:val="001D2817"/>
    <w:rsid w:val="001D5401"/>
    <w:rsid w:val="001F08A7"/>
    <w:rsid w:val="00262F78"/>
    <w:rsid w:val="00270359"/>
    <w:rsid w:val="002748AF"/>
    <w:rsid w:val="00276091"/>
    <w:rsid w:val="0028384A"/>
    <w:rsid w:val="0028588A"/>
    <w:rsid w:val="00290ACF"/>
    <w:rsid w:val="002A6A1A"/>
    <w:rsid w:val="002C683A"/>
    <w:rsid w:val="002D200C"/>
    <w:rsid w:val="002E33B9"/>
    <w:rsid w:val="002E7FFB"/>
    <w:rsid w:val="00302BD4"/>
    <w:rsid w:val="00310C75"/>
    <w:rsid w:val="00314EFF"/>
    <w:rsid w:val="00325124"/>
    <w:rsid w:val="0033575D"/>
    <w:rsid w:val="003421EC"/>
    <w:rsid w:val="00346AD4"/>
    <w:rsid w:val="00362B10"/>
    <w:rsid w:val="00384ED9"/>
    <w:rsid w:val="003865F8"/>
    <w:rsid w:val="0039385A"/>
    <w:rsid w:val="003A231F"/>
    <w:rsid w:val="003A2926"/>
    <w:rsid w:val="003A6A37"/>
    <w:rsid w:val="003B72EC"/>
    <w:rsid w:val="003D7528"/>
    <w:rsid w:val="003F2780"/>
    <w:rsid w:val="003F6277"/>
    <w:rsid w:val="003F6334"/>
    <w:rsid w:val="004019B8"/>
    <w:rsid w:val="00402C31"/>
    <w:rsid w:val="004046FC"/>
    <w:rsid w:val="00411199"/>
    <w:rsid w:val="00412AF7"/>
    <w:rsid w:val="00421C85"/>
    <w:rsid w:val="00433421"/>
    <w:rsid w:val="004336DD"/>
    <w:rsid w:val="0043413A"/>
    <w:rsid w:val="00446423"/>
    <w:rsid w:val="00447F40"/>
    <w:rsid w:val="004555B8"/>
    <w:rsid w:val="00466101"/>
    <w:rsid w:val="004701E5"/>
    <w:rsid w:val="00471764"/>
    <w:rsid w:val="00480617"/>
    <w:rsid w:val="004840F6"/>
    <w:rsid w:val="00485B2C"/>
    <w:rsid w:val="00495514"/>
    <w:rsid w:val="004A26B5"/>
    <w:rsid w:val="004D15C9"/>
    <w:rsid w:val="004D4448"/>
    <w:rsid w:val="004F0259"/>
    <w:rsid w:val="005144B2"/>
    <w:rsid w:val="00522558"/>
    <w:rsid w:val="00534425"/>
    <w:rsid w:val="00537AA0"/>
    <w:rsid w:val="005433E0"/>
    <w:rsid w:val="00561A5B"/>
    <w:rsid w:val="00566BE9"/>
    <w:rsid w:val="005711CD"/>
    <w:rsid w:val="005A3CA4"/>
    <w:rsid w:val="005C0665"/>
    <w:rsid w:val="005D06A7"/>
    <w:rsid w:val="005D4C90"/>
    <w:rsid w:val="005D5B9F"/>
    <w:rsid w:val="00626639"/>
    <w:rsid w:val="00631002"/>
    <w:rsid w:val="00634939"/>
    <w:rsid w:val="006461F9"/>
    <w:rsid w:val="00671AE0"/>
    <w:rsid w:val="00677180"/>
    <w:rsid w:val="0069188A"/>
    <w:rsid w:val="0069694F"/>
    <w:rsid w:val="006A62C1"/>
    <w:rsid w:val="006A63DE"/>
    <w:rsid w:val="006D3133"/>
    <w:rsid w:val="006F4BE7"/>
    <w:rsid w:val="007055A1"/>
    <w:rsid w:val="007119E8"/>
    <w:rsid w:val="00730CFB"/>
    <w:rsid w:val="00742901"/>
    <w:rsid w:val="00767896"/>
    <w:rsid w:val="007A39E5"/>
    <w:rsid w:val="007C6EB2"/>
    <w:rsid w:val="007D1596"/>
    <w:rsid w:val="007E16FA"/>
    <w:rsid w:val="007E18CB"/>
    <w:rsid w:val="00804D43"/>
    <w:rsid w:val="00830B3A"/>
    <w:rsid w:val="00834FD0"/>
    <w:rsid w:val="00860F94"/>
    <w:rsid w:val="0087098A"/>
    <w:rsid w:val="00871734"/>
    <w:rsid w:val="00885810"/>
    <w:rsid w:val="0088745A"/>
    <w:rsid w:val="008922CA"/>
    <w:rsid w:val="008A4466"/>
    <w:rsid w:val="008B24C1"/>
    <w:rsid w:val="008D0370"/>
    <w:rsid w:val="008E0FD2"/>
    <w:rsid w:val="008F4609"/>
    <w:rsid w:val="00900ACB"/>
    <w:rsid w:val="00917D61"/>
    <w:rsid w:val="009324D5"/>
    <w:rsid w:val="00935A3C"/>
    <w:rsid w:val="00952F07"/>
    <w:rsid w:val="00954BBA"/>
    <w:rsid w:val="009561BF"/>
    <w:rsid w:val="00967A3B"/>
    <w:rsid w:val="009775D9"/>
    <w:rsid w:val="00982060"/>
    <w:rsid w:val="00993E3B"/>
    <w:rsid w:val="009A3AC2"/>
    <w:rsid w:val="009A7A9A"/>
    <w:rsid w:val="009C4CAC"/>
    <w:rsid w:val="009D0165"/>
    <w:rsid w:val="00A10A67"/>
    <w:rsid w:val="00A11CB3"/>
    <w:rsid w:val="00A16B2F"/>
    <w:rsid w:val="00A2570B"/>
    <w:rsid w:val="00A43B27"/>
    <w:rsid w:val="00A50D1E"/>
    <w:rsid w:val="00A51BFC"/>
    <w:rsid w:val="00A5704B"/>
    <w:rsid w:val="00A71F21"/>
    <w:rsid w:val="00A743ED"/>
    <w:rsid w:val="00A800D1"/>
    <w:rsid w:val="00A86568"/>
    <w:rsid w:val="00AA2317"/>
    <w:rsid w:val="00AB1C28"/>
    <w:rsid w:val="00AB1EA6"/>
    <w:rsid w:val="00AB37CE"/>
    <w:rsid w:val="00AB49A5"/>
    <w:rsid w:val="00AB6EB9"/>
    <w:rsid w:val="00AC1B26"/>
    <w:rsid w:val="00AE215C"/>
    <w:rsid w:val="00AE2A9A"/>
    <w:rsid w:val="00AE5940"/>
    <w:rsid w:val="00AF01E2"/>
    <w:rsid w:val="00B01F7B"/>
    <w:rsid w:val="00B12033"/>
    <w:rsid w:val="00B122E7"/>
    <w:rsid w:val="00B122ED"/>
    <w:rsid w:val="00B346CD"/>
    <w:rsid w:val="00B55E09"/>
    <w:rsid w:val="00B87542"/>
    <w:rsid w:val="00BA56DD"/>
    <w:rsid w:val="00BA6A0F"/>
    <w:rsid w:val="00BB179D"/>
    <w:rsid w:val="00BB29D8"/>
    <w:rsid w:val="00BB6CA9"/>
    <w:rsid w:val="00BE00B0"/>
    <w:rsid w:val="00BE0D31"/>
    <w:rsid w:val="00BE2B77"/>
    <w:rsid w:val="00BE4B9D"/>
    <w:rsid w:val="00BF7DF7"/>
    <w:rsid w:val="00C30CE9"/>
    <w:rsid w:val="00C3362A"/>
    <w:rsid w:val="00C65722"/>
    <w:rsid w:val="00C7335F"/>
    <w:rsid w:val="00C858A3"/>
    <w:rsid w:val="00CA42AF"/>
    <w:rsid w:val="00CB5A23"/>
    <w:rsid w:val="00CD5605"/>
    <w:rsid w:val="00CE1D21"/>
    <w:rsid w:val="00CF5A4D"/>
    <w:rsid w:val="00D02086"/>
    <w:rsid w:val="00D13821"/>
    <w:rsid w:val="00D13D04"/>
    <w:rsid w:val="00D20E02"/>
    <w:rsid w:val="00D2297E"/>
    <w:rsid w:val="00D23048"/>
    <w:rsid w:val="00D32D16"/>
    <w:rsid w:val="00D47925"/>
    <w:rsid w:val="00D47F61"/>
    <w:rsid w:val="00D92D37"/>
    <w:rsid w:val="00DA19B1"/>
    <w:rsid w:val="00DA4EDD"/>
    <w:rsid w:val="00DD390C"/>
    <w:rsid w:val="00DE4471"/>
    <w:rsid w:val="00DF6A29"/>
    <w:rsid w:val="00E2483A"/>
    <w:rsid w:val="00E25AD2"/>
    <w:rsid w:val="00E263E5"/>
    <w:rsid w:val="00E27B4B"/>
    <w:rsid w:val="00E6295D"/>
    <w:rsid w:val="00E62C18"/>
    <w:rsid w:val="00E62C80"/>
    <w:rsid w:val="00EA3029"/>
    <w:rsid w:val="00EA576C"/>
    <w:rsid w:val="00EA6EFB"/>
    <w:rsid w:val="00ED3481"/>
    <w:rsid w:val="00F0639D"/>
    <w:rsid w:val="00F077CF"/>
    <w:rsid w:val="00F11519"/>
    <w:rsid w:val="00F14B08"/>
    <w:rsid w:val="00F26B4F"/>
    <w:rsid w:val="00F42091"/>
    <w:rsid w:val="00F50760"/>
    <w:rsid w:val="00F572C7"/>
    <w:rsid w:val="00F615E3"/>
    <w:rsid w:val="00F61A5B"/>
    <w:rsid w:val="00F7095C"/>
    <w:rsid w:val="00F75390"/>
    <w:rsid w:val="00F77784"/>
    <w:rsid w:val="00FB185E"/>
    <w:rsid w:val="00FC7F1C"/>
    <w:rsid w:val="00FD1EA7"/>
    <w:rsid w:val="00FD3684"/>
    <w:rsid w:val="00FD3AA2"/>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2AC64013-F649-234A-B21F-F590C980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53</TotalTime>
  <Pages>2</Pages>
  <Words>643</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4176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15</cp:revision>
  <cp:lastPrinted>2018-07-19T09:22:00Z</cp:lastPrinted>
  <dcterms:created xsi:type="dcterms:W3CDTF">2018-08-14T14:58:00Z</dcterms:created>
  <dcterms:modified xsi:type="dcterms:W3CDTF">2019-01-23T15:17:00Z</dcterms:modified>
</cp:coreProperties>
</file>